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ID211601 (Brandenburg)</w:t>
      </w:r>
    </w:p>
    <w:p>
      <w:r>
        <w:rPr>
          <w:color w:val="555555"/>
          <w:sz w:val="18"/>
        </w:rPr>
        <w:t xml:space="preserve">Gesetz zu dem Staatsvertrag zwischen dem Land Brandenburg und dem Freistaat Sachsen über die Änderung der gemeinsamen Landesgrenze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Vertrag nach seinem Artikel 7 in Kraft tritt, ist im Gesetz- und Verordnungsblatt für das Land Brandenburg Teil I bekanntzugeben.</w:t>
      </w:r>
    </w:p>
    <w:p>
      <w:r>
        <w:t xml:space="preserve">Potsdam, den 23. Oktober 1998</w:t>
      </w:r>
    </w:p>
    <w:p>
      <w:r>
        <w:t xml:space="preserve">Der Präsident des Landtages Brandenburg</w:t>
      </w:r>
    </w:p>
    <w:p>
      <w:r>
        <w:t xml:space="preserve">in Vertretung</w:t>
      </w:r>
    </w:p>
    <w:p>
      <w:r>
        <w:t xml:space="preserve">Martin Habermann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ID211601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https://recht.nulegal.eu/gesetze/ID211601/2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