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ID211523 (Brandenburg) — Vermögensübergang</w:t>
      </w:r>
    </w:p>
    <w:p>
      <w:r>
        <w:rPr>
          <w:color w:val="555555"/>
          <w:sz w:val="18"/>
        </w:rPr>
        <w:t xml:space="preserve">Gesetz zur Regelung der Übertragung der Kataster- und Vermessungsämter auf die Landkreise und kreisfreien Städte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den Vermögensübergang gilt § 5 des Funktionalreformgrundsätzegesetzes,</w:t>
      </w:r>
    </w:p>
    <w:p>
      <w:r>
        <w:t xml:space="preserve">soweit dieses Gesetz nichts anderes bestimmt.</w:t>
      </w:r>
    </w:p>
    <w:p>
      <w:r>
        <w:t xml:space="preserve">(2) Die vorhandenen und künftigen Nachweise des Liegenschaftskatasters und</w:t>
      </w:r>
    </w:p>
    <w:p>
      <w:r>
        <w:t xml:space="preserve">der Landesvermessung sind Eigentum des Landes. Gleiches gilt für die</w:t>
      </w:r>
    </w:p>
    <w:p>
      <w:r>
        <w:t xml:space="preserve">vorhandenen und künftigen Meß-, Auswerte- und Informationssysteme, die zur</w:t>
      </w:r>
    </w:p>
    <w:p>
      <w:r>
        <w:t xml:space="preserve">landeseinheitlichen Wahrnehmung der Aufgaben des Vermessungs- und</w:t>
      </w:r>
    </w:p>
    <w:p>
      <w:r>
        <w:t xml:space="preserve">Liegenschaftsgesetzes sowie der Gutachterausschußverordnung erforderlich</w:t>
      </w:r>
    </w:p>
    <w:p>
      <w:r>
        <w:t xml:space="preserve">sind.</w:t>
      </w:r>
    </w:p>
    <w:p>
      <w:r>
        <w:t xml:space="preserve">(3) Das Land verpflichtet sich zur Beschaffung, Ersatzbeschaffung und</w:t>
      </w:r>
    </w:p>
    <w:p>
      <w:r>
        <w:t xml:space="preserve">laufenden Unterhaltung der Meß-, Auswerte- und Informationssysteme, die zur</w:t>
      </w:r>
    </w:p>
    <w:p>
      <w:r>
        <w:t xml:space="preserve">landeseinheitlichen Wahrnehmung der Aufgaben des Vermessungs- und</w:t>
      </w:r>
    </w:p>
    <w:p>
      <w:r>
        <w:t xml:space="preserve">Liegenschaftsgesetzes sowie der Gutachterausschußverordnung erforderlich</w:t>
      </w:r>
    </w:p>
    <w:p>
      <w:r>
        <w:t xml:space="preserve">sind.</w:t>
      </w:r>
    </w:p>
    <w:p>
      <w:r>
        <w:rPr>
          <w:color w:val="555555"/>
          <w:sz w:val="17"/>
        </w:rPr>
        <w:t xml:space="preserve">Zitiervorschlag: § 3 ID211523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https://recht.nulegal.eu/gesetze/ID211523/3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