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ID211523 (Brandenburg) — Aufgabenwahrnehmung</w:t>
      </w:r>
    </w:p>
    <w:p>
      <w:r>
        <w:rPr>
          <w:color w:val="555555"/>
          <w:sz w:val="18"/>
        </w:rPr>
        <w:t xml:space="preserve">Gesetz zur Regelung der Übertragung der Kataster- und Vermessungsämter auf die Landkreise und kreisfreien Städte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Aufgaben nach dem Vermessungs- und Liegenschaftsgesetz, die bisher von</w:t>
      </w:r>
    </w:p>
    <w:p>
      <w:r>
        <w:t xml:space="preserve">den staatlichen Kataster- und Vermessungsämtern wahrgenommen werden, gehen am 1.</w:t>
      </w:r>
    </w:p>
    <w:p>
      <w:r>
        <w:t xml:space="preserve">Januar 1995 auf die Landkreise und kreisfreien Städte als Pflichtaufgaben zur</w:t>
      </w:r>
    </w:p>
    <w:p>
      <w:r>
        <w:t xml:space="preserve">Erfüllung nach Weisung über.</w:t>
      </w:r>
    </w:p>
    <w:p>
      <w:r>
        <w:rPr>
          <w:color w:val="555555"/>
          <w:sz w:val="17"/>
        </w:rPr>
        <w:t xml:space="preserve">Zitiervorschlag: § 1 ID211523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https://recht.nulegal.eu/gesetze/ID211523/1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