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ID211501 (Brandenburg)</w:t>
      </w:r>
    </w:p>
    <w:p>
      <w:r>
        <w:rPr>
          <w:color w:val="555555"/>
          <w:sz w:val="18"/>
        </w:rPr>
        <w:t xml:space="preserve">Gesetz zum Staatsvertrag über die Auflösung der Akademie der Künste der ehemaligen Deutschen Demokratischen Republik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gemäß seinem Artikel II in Kraft tritt, ist im Gesetz- und Verordnungsblatt für das Land Brandenburg Teil I bekanntzugeben.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ID211501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https://recht.nulegal.eu/gesetze/ID211501/2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