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IDÜV — Sicherheit</w:t>
      </w:r>
    </w:p>
    <w:p>
      <w:r>
        <w:rPr>
          <w:color w:val="555555"/>
          <w:sz w:val="18"/>
        </w:rPr>
        <w:t xml:space="preserve">Indexdatenübermittlungsverordnung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Kommt es während einer Datenübermittlung zu Störungen oder Unterbrechungen, soll dies der übermittelnden Stelle angezeigt und eine erneute Übermittlung verlangt werden.</w:t>
      </w:r>
    </w:p>
    <w:p>
      <w:r>
        <w:t xml:space="preserve">(2) Der Betreiber des Transparenzregisters erstellt im Einvernehmen mit dem Bundesamt für Sicherheit in der Informationstechnik ein Sicherheitskonzept für das Transparenzregister.</w:t>
      </w:r>
    </w:p>
    <w:p>
      <w:r>
        <w:rPr>
          <w:color w:val="555555"/>
          <w:sz w:val="17"/>
        </w:rPr>
        <w:t xml:space="preserve">Zitiervorschlag: § 6 IDÜV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https://recht.nulegal.eu/gesetze/ID%C3%9CV/6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