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IDÜV — Änderung und Aktualisierung der Daten</w:t>
      </w:r>
    </w:p>
    <w:p>
      <w:r>
        <w:rPr>
          <w:color w:val="555555"/>
          <w:sz w:val="18"/>
        </w:rPr>
        <w:t xml:space="preserve">Indexdatenübermittlungsverordnung</w:t>
      </w:r>
    </w:p>
    <w:p>
      <w:r>
        <w:rPr>
          <w:color w:val="555555"/>
          <w:sz w:val="18"/>
        </w:rPr>
        <w:t xml:space="preserve">Stand: 01.01.2024 (konsolidierte Textfassung, kein amtliches Inkrafttretensdatum)</w:t>
      </w:r>
    </w:p>
    <w:p>
      <w:r>
        <w:t xml:space="preserve">(1) Die Landesjustizverwaltungen übermitteln Änderungen der Indexdaten zu Eintragungen im Handels-, Genossenschafts-, Gesellschafts- und Partnerschaftsregister (§ 1 Absatz 1) unverzüglich. Für Änderungen der Indexdaten zu Eintragungen im Vereinsregister (§ 1 Absatz 2) gilt Satz 1 entsprechend.</w:t>
      </w:r>
    </w:p>
    <w:p>
      <w:r>
        <w:t xml:space="preserve">(2) Die Indexdaten zu Bekanntmachungen aus dem Handels-, Genossenschafts-, Gesellschafts-, Partnerschafts- und Vereinsregister (§ 2) sind täglich zu aktualisieren. Die Landesjustizverwaltungen können in Absprache mit dem Betreiber des Transparenzregisters eine häufigere Aktualisierung oder eine vollständige Neuübermittlung vornehmen, wenn dadurch der Betrieb des Transparenzregisters nicht beeinträchtigt wird.</w:t>
      </w:r>
    </w:p>
    <w:p>
      <w:r>
        <w:rPr>
          <w:color w:val="555555"/>
          <w:sz w:val="17"/>
        </w:rPr>
        <w:t xml:space="preserve">Zitiervorschlag: § 5 IDÜV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https://recht.nulegal.eu/gesetze/ID%C3%9CV/5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