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IDÜV — Art der Datenübermittlung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Indexdaten sind in einem zwischen dem Betreiber des Transparenzregisters und den Landesjustizverwaltungen vereinbarten strukturierten Format zu übermitteln.</w:t>
      </w:r>
    </w:p>
    <w:p>
      <w:r>
        <w:t xml:space="preserve">(2) Die Landesjustizverwaltungen übermitteln dem Transparenzregister die Indexdaten über eine nach dem Stand der Technik gesicherte, zwischen dem Betreiber des Transparenzregisters und den Landesjustizverwaltungen vereinbarte Verbindung der Datenfernübertragung.</w:t>
      </w:r>
    </w:p>
    <w:p>
      <w:r>
        <w:rPr>
          <w:color w:val="555555"/>
          <w:sz w:val="17"/>
        </w:rPr>
        <w:t xml:space="preserve">Zitiervorschlag: § 3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