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HypKrlosErklG</w:t>
      </w:r>
    </w:p>
    <w:p>
      <w:r>
        <w:rPr>
          <w:color w:val="555555"/>
          <w:sz w:val="18"/>
        </w:rPr>
        <w:t xml:space="preserve">Gesetz über die Kraftloserklärung von Hypotheken-, Grundschuld- und Rentenschuldbriefen in besonderen Fällen</w:t>
      </w:r>
    </w:p>
    <w:p>
      <w:r>
        <w:rPr>
          <w:color w:val="555555"/>
          <w:sz w:val="18"/>
        </w:rPr>
        <w:t xml:space="preserve">Stand: 10.06.2019 (konsolidierte Textfassung, kein amtliches Inkrafttretensdatum)</w:t>
      </w:r>
    </w:p>
    <w:p>
      <w:r>
        <w:t xml:space="preserve">Auf das Verfahren der Kraftloserklärung sind die für das Aufgebotsverfahren zum Zwecke der Kraftloserklärung von Hypothekenbriefen geltenden Vorschriften des Gesetzes über das Verfahren in Familiensachen und in den Angelegenheiten der freiwilligen Gerichtsbarkeit anzuwenden, soweit in diesem Gesetz nichts anderes bestimmt ist.</w:t>
      </w:r>
    </w:p>
    <w:p>
      <w:r>
        <w:rPr>
          <w:color w:val="555555"/>
          <w:sz w:val="17"/>
        </w:rPr>
        <w:t xml:space="preserve">Zitiervorschlag: § 2 HypKrlosErklG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https://recht.nulegal.eu/gesetze/HypKrlosErklG/2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