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HypKrlosErklG</w:t>
      </w:r>
    </w:p>
    <w:p>
      <w:r>
        <w:rPr>
          <w:color w:val="555555"/>
          <w:sz w:val="18"/>
        </w:rPr>
        <w:t xml:space="preserve">Gesetz über die Kraftloserklärung von Hypotheken-, Grundschuld- und Rentenschuldbriefen in besonderen 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einen Rechtsstreit, der die Herausgabe des Briefes oder das Recht aus der Hypothek betrifft, ist das Gericht ausschließlich zuständig, in dessen Bezirk das belastete Grundstück gelegen ist.</w:t>
      </w:r>
    </w:p>
    <w:p>
      <w:r>
        <w:rPr>
          <w:color w:val="555555"/>
          <w:sz w:val="17"/>
        </w:rPr>
        <w:t xml:space="preserve">Zitiervorschlag: § 12 HypKrlosErklG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https://recht.nulegal.eu/gesetze/HypKrlosErklG/12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HypKrlosErklG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