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HypAblV</w:t>
      </w:r>
    </w:p>
    <w:p>
      <w:r>
        <w:rPr>
          <w:color w:val="555555"/>
          <w:sz w:val="18"/>
        </w:rPr>
        <w:t xml:space="preserve">Hypothekenablöseverordnung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HypAblV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https://recht.nulegal.eu/gesetze/HypAblV/schlussformel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