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HypAblV — Grundsatz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Sicherheit nach den Vorschriften des Vermögensgesetzes kann durch Hinterlegung bei der gemäß § 18a dieses Gesetzes zuständigen Stelle oder durch Beibringung einer Garantie oder eines sonstigen Zahlungsversprechens eines Kreditinstitutes geleistet werden.</w:t>
      </w:r>
    </w:p>
    <w:p>
      <w:r>
        <w:t xml:space="preserve">(2) Sicherheit ist in Höhe des in der angefochtenen Entscheidung festgesetzten Betrages zu leisten.</w:t>
      </w:r>
    </w:p>
    <w:p>
      <w:r>
        <w:rPr>
          <w:color w:val="555555"/>
          <w:sz w:val="17"/>
        </w:rPr>
        <w:t xml:space="preserve">Zitiervorschlag: § 6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