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HypAblV — Zustellung</w:t>
      </w:r>
    </w:p>
    <w:p>
      <w:r>
        <w:rPr>
          <w:color w:val="555555"/>
          <w:sz w:val="18"/>
        </w:rPr>
        <w:t xml:space="preserve">Hypothekenablöseverordnung</w:t>
      </w:r>
    </w:p>
    <w:p>
      <w:r>
        <w:rPr>
          <w:color w:val="555555"/>
          <w:sz w:val="18"/>
        </w:rPr>
        <w:t xml:space="preserve">Stand: 10.06.2019 (konsolidierte Textfassung, kein amtliches Inkrafttretensdatum)</w:t>
      </w:r>
    </w:p>
    <w:p>
      <w:r>
        <w:t xml:space="preserve">(1) Entscheidungen, durch die ein Ablösebetrag gemäß § 18 des Vermögensgesetzes festgesetzt wird, und Auszahlungsbescheide des Entschädigungsfonds gemäß § 18b Abs. 1 Satz 5 des Vermögensgesetzes können den Gläubigern der Grundpfandrechte und den Begünstigten im Sinne des § 18b Abs. 1 Satz 1 des Vermögensgesetzes durch öffentliche Bekanntmachung nach Maßgabe des § 10 Abs. 2 des Verwaltungszustellungsgesetzes zugestellt werden, wenn der Aufenthaltsort oder die Person des Begünstigten unbekannt und nur unter unverhältnismäßigen Schwierigkeiten zu ermitteln ist; ist die Person des Begünstigten unbekannt, sind in der Benachrichtigung Name und die letzte bekannte Anschrift des ehemaligen Rechtsinhabers anzugeben.</w:t>
      </w:r>
    </w:p>
    <w:p>
      <w:r>
        <w:t xml:space="preserve">(2) Ist der Empfänger einer Zustellung nicht im Inland ansässig oder vertreten, so erfolgt die Zustellung, sofern nicht besondere völkervertragliche Regelungen etwas Abweichendes vorschreiben, nach Absendung einer Abschrift des Bescheides durch Aufgabe des Bescheides zur Post mit Einschreiben; die Zustellung gilt nach Ablauf von zwei Wochen ab der Aufgabe zur Post als erfolgt.</w:t>
      </w:r>
    </w:p>
    <w:p>
      <w:r>
        <w:rPr>
          <w:color w:val="555555"/>
          <w:sz w:val="17"/>
        </w:rPr>
        <w:t xml:space="preserve">Zitiervorschlag: § 5 HypAblV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https://recht.nulegal.eu/gesetze/HypAblV/5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