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HypAblV — Mitteilung</w:t>
      </w:r>
    </w:p>
    <w:p>
      <w:r>
        <w:rPr>
          <w:color w:val="555555"/>
          <w:sz w:val="18"/>
        </w:rPr>
        <w:t xml:space="preserve">Hypothekenablöseverordnung</w:t>
      </w:r>
    </w:p>
    <w:p>
      <w:r>
        <w:rPr>
          <w:color w:val="555555"/>
          <w:sz w:val="18"/>
        </w:rPr>
        <w:t xml:space="preserve">Stand: 10.06.2019 (konsolidierte Textfassung, kein amtliches Inkrafttretensdatum)</w:t>
      </w:r>
    </w:p>
    <w:p>
      <w:r>
        <w:t xml:space="preserve">In der Mitteilung nach § 32 des Vermögensgesetzes sind die früheren dinglichen Rechte, die zuletzt im Grundbuch eingetragenen Gläubiger dieser Rechte, deren Rechtsnachfolger, wenn diese dem Amt zur Regelung offener Vermögensfragen bekannt sind, die nach § 18 des Vermögensgesetzes und dieser Verordnung für die einzelnen Rechte berücksichtigten Einzelbeträge und der insgesamt zu hinterlegende Ablösebetrag anzugeben. In dem Bescheid soll auf die Möglichkeit einer einvernehmlichen Bereinigung früherer Rechte gemäß § 18 Abs. 1 Satz 4 des Vermögensgesetzes und § 3 Abs. 1 dieser Verordnung hingewiesen werden, wenn das Amt zur Regelung offener Vermögensfragen eine solche Bereinigung im Einzelfall für zweckdienlich hält. Eine Abschrift der Mitteilung ist dem betroffenen Kreditinstitut zu übersenden.</w:t>
      </w:r>
    </w:p>
    <w:p>
      <w:r>
        <w:rPr>
          <w:color w:val="555555"/>
          <w:sz w:val="17"/>
        </w:rPr>
        <w:t xml:space="preserve">Zitiervorschlag: § 1 HypAblV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https://recht.nulegal.eu/gesetze/HypAblV/1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