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HygWBV (Brandenburg) — Prüfung</w:t>
      </w:r>
    </w:p>
    <w:p>
      <w:r>
        <w:rPr>
          <w:color w:val="555555"/>
          <w:sz w:val="18"/>
        </w:rPr>
        <w:t xml:space="preserve">Hygienefachkraft-Weiterbildungsverordnung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Prüfung besteht aus einem schriftlichen und einem mündlichen Teil. Prüfungsteile können miteinander verbunden werden. Zwischen den einzelnen Prüfungsteilen muss mindestens ein prüfungsfreier Tag liegen. Die Prüfung darf frühestens vier Wochen vor Abschluss der Weiterbildung beginnen.</w:t>
      </w:r>
    </w:p>
    <w:p>
      <w:r>
        <w:t xml:space="preserve">Einzelnorm</w:t>
      </w:r>
    </w:p>
    <w:p>
      <w:r>
        <w:rPr>
          <w:color w:val="555555"/>
          <w:sz w:val="17"/>
        </w:rPr>
        <w:t xml:space="preserve">Zitiervorschlag: § 9 HygWBV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https://recht.nulegal.eu/gesetze/HygWBV/9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