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HygWBV (Brandenburg) — Räumliche und sächliche Voraussetzungen der Weiterbildungsstätte</w:t>
      </w:r>
    </w:p>
    <w:p>
      <w:r>
        <w:rPr>
          <w:color w:val="555555"/>
          <w:sz w:val="18"/>
        </w:rPr>
        <w:t xml:space="preserve">Hygienefachkraft-Weiterbildungsverordnung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Weiterbildungsstätte muss über geeignete Räume für die Weiterbildung verfügen. Dazu gehören mindestens ein Unterrichtsraum mit einer Grundfläche von mindestens 2 Quadratmetern für jede Teilnehmerin und jeden Teilnehmer zuzüglich 10 Quadratmeter für die Lehrkraft, ein Raum für den Gruppenunterricht, ein Pausenraum sowie ausreichende sanitäre Einrichtungen. Die erforderlichen Lehr- und Lernmittel müssen vorhanden sein, insbesondere aktuelle Fachliteratur sowie PC-Arbeitsplätze mit Internetzugang.</w:t>
      </w:r>
    </w:p>
    <w:p>
      <w:r>
        <w:t xml:space="preserve">(2) Die Weiterbildungsstätte ist verpflichtet, die einschlägigen Anforderungen der Bau-, Brand-, Gesundheits- und Arbeitsschutzbestimmungen einzuhalten und entsprechende Nachweise vorzulegen.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5 HygWBV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https://recht.nulegal.eu/gesetze/HygWBV/5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