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HygWBV (Brandenburg) — Inkrafttreten</w:t>
      </w:r>
    </w:p>
    <w:p>
      <w:r>
        <w:rPr>
          <w:color w:val="555555"/>
          <w:sz w:val="18"/>
        </w:rPr>
        <w:t xml:space="preserve">Hygienefachkraft-Weiterbildungsverordnung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Einzelnorm</w:t>
      </w:r>
    </w:p>
    <w:p>
      <w:r>
        <w:t xml:space="preserve">Potsdam, den 29. Mai 2017</w:t>
      </w:r>
    </w:p>
    <w:p>
      <w:r>
        <w:t xml:space="preserve">Die Ministerin für Arbeit, Soziales,</w:t>
      </w:r>
    </w:p>
    <w:p>
      <w:r>
        <w:t xml:space="preserve">Gesundheit, Frauen und Familie</w:t>
      </w:r>
    </w:p>
    <w:p>
      <w:r>
        <w:t xml:space="preserve">Diana Golze</w:t>
      </w:r>
    </w:p>
    <w:p>
      <w:r>
        <w:rPr>
          <w:color w:val="555555"/>
          <w:sz w:val="17"/>
        </w:rPr>
        <w:t xml:space="preserve">Zitiervorschlag: § 19 HygWBV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https://recht.nulegal.eu/gesetze/HygWBV/19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