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HygWBV (Brandenburg) — Weiterbildungsbezeichnung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Berechtigung zum Führen der Weiterbildungsbezeichnung „Fachgesundheits- und Krankenpflegerin oder Fachgesundheits- und Krankenpfleger für Hygiene in der Pflege“ oder „Fachgesundheits- und Kinderkrankenpflegerin oder Fachgesundheits- und Kinderkrankenpfleger für Hygiene in der Pflege“ erhält, wer die vorgeschriebene Weiterbildung abgeschlossen und die Prüfung bestanden hat.</w:t>
      </w:r>
    </w:p>
    <w:p>
      <w:r>
        <w:t xml:space="preserve">(2) Die Weiterbildungsbezeichnung darf nur in Verbindung mit der Erlaubnis zum Führen der Berufsbezeichnung geführt werden.</w:t>
      </w:r>
    </w:p>
    <w:p>
      <w:r>
        <w:t xml:space="preserve">(3) Die Berechtigung zum Führen der Weiterbildungsbezeichnung wird durch die Weiterbildungsstätte im Zeugnis nach dem Muster der Anlage 4 und nach Maßgabe von § 7 Absatz 4 des Gesetzes über die Weiterbildung und Fortbildung in den Fachberufen des Gesundheitswesens bescheinigt.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17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