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HybDRGV — Spezielle sektorengleiche Vergütung und Leistungen</w:t>
      </w:r>
    </w:p>
    <w:p>
      <w:r>
        <w:rPr>
          <w:color w:val="555555"/>
          <w:sz w:val="18"/>
        </w:rPr>
        <w:t xml:space="preserve">Hybrid-DRG-Verordnung</w:t>
      </w:r>
    </w:p>
    <w:p>
      <w:r>
        <w:rPr>
          <w:color w:val="555555"/>
          <w:sz w:val="18"/>
        </w:rPr>
        <w:t xml:space="preserve">Historische Fassung: Stand 01.01.2024 bis 01.01.2025. Dies ist nicht die aktuelle Fassung.</w:t>
      </w:r>
    </w:p>
    <w:p>
      <w:r>
        <w:t xml:space="preserve">Die in Anlage 1 genannten Leistungen sind mit einer in Anlage 2 genannten Fallpauschale (Hybrid-DRG) zu vergüten, sofern sich aus dem Definitionshandbuch „aG-DRG German Diagnosis Related Groups Version 2024“ des Instituts für das Entgeltsystem im Krankenhaus vom 28. November 2023 eine Zuordnung der jeweiligen Leistung zu der jeweiligen Hybrid-DRG ergibt. Die Leistung beginnt mit den Maßnahmen zur Operationsvorbereitung und -planung und endet mit dem Abschluss der postoperativen Nachbeobachtung, jeweils in der Einrichtung, in der die Operation durchgeführt wird. Mit der Hybrid-DRG sind alle im Zusammenhang mit der Behandlung des Versicherten mit einer in Anlage 1 genannten Leistung entstandenen Aufwände abgegolten. Die Hybrid-DRG erfolgt unabhängig von der Anzahl der beteiligten Leistungserbringer nur einmalig.</w:t>
      </w:r>
    </w:p>
    <w:p>
      <w:r>
        <w:rPr>
          <w:color w:val="555555"/>
          <w:sz w:val="17"/>
        </w:rPr>
        <w:t xml:space="preserve">Zitiervorschlag: § 1 HybDRGV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https://recht.nulegal.eu/gesetze/HybDRGV/1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