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HwkV (Nordrhein-Westfalen)</w:t>
      </w:r>
    </w:p>
    <w:p>
      <w:r>
        <w:rPr>
          <w:color w:val="555555"/>
          <w:sz w:val="18"/>
        </w:rPr>
        <w:t xml:space="preserve">Handwerkskammerverordnung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November 2009</w:t>
      </w:r>
    </w:p>
    <w:p>
      <w:r>
        <w:t xml:space="preserve">Aufgrund des § 90 Absatz 5 der Handwerksordnung in der Fassung der Bekanntmachung vom 24. September 1998 (BGBl. I S. 3074, ber. 2006 I S. 2095), zuletzt geändert durch Artikel 2 des Gesetzes vom 17. Juli 2009 (BGBl. I S. 2091), in Verbindung mit § 1 des Gesetzes über Ermächtigungen zum Erlass von Rechtsverordnungen vom 3. Juli 1961 in der im Bundesgesetzblatt Teil III, Gliederungsnummer 103-1, veröffentlichten bereinigten Fassung und § 1 der Verordnung über die Übertragung von Ermächtigungen der Landesregierung zum Erlass von Rechtsverordnungen vom 17. Oktober 1961 (GV. NRW. S. 285), aufgrund des § 80 des Landesdisziplinargesetzes vom 16. November 2004 (GV. NRW. S. 624), zuletzt geändert durch Artikel 1 des Gesetzes vom 27. Oktober 2009 (GV. NRW. S. 530) – insoweit im Einvernehmen mit dem Innenministerium des Landes Nordrhein-Westfalen – und aufgrund der Vorbemerkung Nummer 1 Abs. 2 zu den Bundesbesoldungsordnungen A und B – Anlage 1 des Bundesbesoldungsgesetzes in der Fassung der Bekanntmachung vom 19. Juni 2009 (BGBl. I S. 1434), zuletzt geändert durch Artikel 4 des Gesetzes vom 29. Juli 2009 (BGBl. I S. 2424), in Verbindung mit § 8 Absatz 5 des Landesbesoldungsgesetzes in der Fassung der Bekanntmachung vom 17. Februar 2005 (GV. NRW. S. 154), zuletzt geändert durch Artikel 4 des Gesetzes vom 10. November 2009 (GV. NRW. S. 186) – insoweit im Einvernehmen mit dem Finanz- und dem Innenminister des Landes Nordrhein-Westfalen – wird verordnet:</w:t>
      </w:r>
    </w:p>
    <w:p>
      <w:r>
        <w:rPr>
          <w:color w:val="555555"/>
          <w:sz w:val="17"/>
        </w:rPr>
        <w:t xml:space="preserve">Zitiervorschlag: Volltext HwkV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https://recht.nulegal.eu/gesetze/HwkV/volltext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