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HwkV (Nordrhein-Westfalen) — Inkrafttreten</w:t>
      </w:r>
    </w:p>
    <w:p>
      <w:r>
        <w:rPr>
          <w:color w:val="555555"/>
          <w:sz w:val="18"/>
        </w:rPr>
        <w:t xml:space="preserve">Handwerkskammerverordnung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HwkV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https://recht.nulegal.eu/gesetze/HwkV/4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