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HwkV (Nordrhein-Westfalen) — Dienstvorgesetzte Stelle der Beamtinnen und Beamten der Handwerkskammern</w:t>
      </w:r>
    </w:p>
    <w:p>
      <w:r>
        <w:rPr>
          <w:color w:val="555555"/>
          <w:sz w:val="18"/>
        </w:rPr>
        <w:t xml:space="preserve">Handwerkskammerverordnung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Befugnisse der dienstvorgesetzten Stelle der Beamtinnen und Beamten der Handwerkskammern üben aus gegenüber</w:t>
      </w:r>
    </w:p>
    <w:p>
      <w:r>
        <w:t xml:space="preserve">1. der Hauptgeschäftsführung das für Wirtschaft zuständige Ministerium und</w:t>
      </w:r>
    </w:p>
    <w:p>
      <w:r>
        <w:t xml:space="preserve">2. den sonstigen Beamtinnen und Beamten der Handwerkskammern die Hauptgeschäftsführung.</w:t>
      </w:r>
    </w:p>
    <w:p>
      <w:r>
        <w:rPr>
          <w:color w:val="555555"/>
          <w:sz w:val="17"/>
        </w:rPr>
        <w:t xml:space="preserve">Zitiervorschlag: § 2 HwkV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https://recht.nulegal.eu/gesetze/HwkV/2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