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Nach Übergabe der Unterlagen an den Wahlleiter stellt der Wahlausschuss das Gesamtergebnis der Wahl fest, das durch den Wahlleiter in den für die Bekanntmachung der Handwerkskammer bestimmten Organen öffentlich bekannt zu machen und der Aufsichtsbehörde anzuzeigen ist. Die Wahlunterlagen sind aufzubewahren und der Aufsichtsbehörde auf Anforderung vorzulegen.</w:t>
      </w:r>
    </w:p>
    <w:p>
      <w:r>
        <w:t xml:space="preserve">(2) Als gewählt gelten die Bewerber desjenigen Wahlvorschlags, der die Mehrheit der abgegebenen Stimmen erhalten hat.</w:t>
      </w:r>
    </w:p>
    <w:p>
      <w:r>
        <w:rPr>
          <w:color w:val="555555"/>
          <w:sz w:val="17"/>
        </w:rPr>
        <w:t xml:space="preserve">Zitiervorschlag: § 18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