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Das Wählerverzeichnis, die Wahlberechtigungsscheine und sonstigen Wahlunterlagen sind so zu verwahren, daß sie gegen Einsichtnahme durch Unbefugte geschützt sind.</w:t>
      </w:r>
    </w:p>
    <w:p>
      <w:r>
        <w:t xml:space="preserve">(2) Nach der Wahl sind die in Absatz 1 genannten Unterlagen bis zur Unanfechtbarkeit der Wahl aufzubewahren und danach zu vernichten.</w:t>
      </w:r>
    </w:p>
    <w:p>
      <w:r>
        <w:t xml:space="preserve">(3) Auskünfte aus den in Absatz 1 genannten Unterlagen dürfen nur Behörden, Gerichten und sonstigen öffentlichen Stellen und nur dann erteilt werden, wenn diese die Auskünfte zur Erfüllung von Aufgaben benötigen, die sich auf die Vorbereitung, Durchführung oder Überprüfung der Wahl sowie die Verfolgung von Wahlstraftaten, Wahlprüfungsangelegenheiten oder auf wahlstatistische Arbeiten beziehen.</w:t>
      </w:r>
    </w:p>
    <w:p>
      <w:r>
        <w:rPr>
          <w:color w:val="555555"/>
          <w:sz w:val="17"/>
        </w:rPr>
        <w:t xml:space="preserve">Zitiervorschlag: § 17a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