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 HwWahlO</w:t>
      </w:r>
    </w:p>
    <w:p>
      <w:r>
        <w:rPr>
          <w:color w:val="555555"/>
          <w:sz w:val="18"/>
        </w:rPr>
        <w:t xml:space="preserve">Wahlordnung für die Wahlen der Mitglieder der Vollversammlung der Handwerkskammern (Anlage C zu dem Gesetz zur Ordnung des Handwerks (Handwerksordnung))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der Wahl sind nur solche Stimmen gültig, die unverändert auf einen der vom Wahlausschuß zugelassenen und vom Wahlleiter veröffentlichten Vorschläge lauten.</w:t>
      </w:r>
    </w:p>
    <w:p>
      <w:r>
        <w:t xml:space="preserve">(2) Zur Gültigkeit des Stimmzettels genügt es, daß er den Wahlvorschlag nach der vom Wahlleiter veröffentlichten Nummer und dem Kennwort bezeichnet.</w:t>
      </w:r>
    </w:p>
    <w:p>
      <w:r>
        <w:rPr>
          <w:color w:val="555555"/>
          <w:sz w:val="17"/>
        </w:rPr>
        <w:t xml:space="preserve">Zitiervorschlag: § 14 HwWahlO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https://recht.nulegal.eu/gesetze/HwWahlO/14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 HwWahlO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