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HwWahlO</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(1) Die ihr Wahlrecht wahrnehmenden Gesellen und Arbeitnehmer mit abgeschlossener Berufsausbildung weisen dem Wahlleiter ihre Wahlberechtigung durch eine die Unterschrift des Betriebsrates, soweit dieser in Betrieben vorhanden ist, in allen übrigen Betrieben durch eine die Unterschrift des Betriebsinhabers oder seines gesetzlichen Vertreters tragende Bescheinigung (Wahlberechtigungsschein) nach.</w:t>
      </w:r>
    </w:p>
    <w:p>
      <w:r>
        <w:t xml:space="preserve">(2) Wählen kann nur, wer sich durch eine solche Bescheinigung als Wahlberechtigter legitimiert oder wer von kurzzeitiger Arbeitslosigkeit (§ 98) betroffen ist. Diese ist dem Wahlleiter durch Vorlage einer Bescheinigung der Agentur für Arbeit nachzuweisen.</w:t>
      </w:r>
    </w:p>
    <w:p>
      <w:r>
        <w:rPr>
          <w:color w:val="555555"/>
          <w:sz w:val="17"/>
        </w:rPr>
        <w:t xml:space="preserve">Zitiervorschlag: § 13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