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HwWahlO</w:t>
      </w:r>
    </w:p>
    <w:p>
      <w:r>
        <w:rPr>
          <w:color w:val="555555"/>
          <w:sz w:val="18"/>
        </w:rPr>
        <w:t xml:space="preserve">Wahlordnung für die Wahlen der Mitglieder der Vollversammlung der Handwerkskammern (Anlage C zu dem Gesetz zur Ordnung des Handwerks (Handwerksordnung))</w:t>
      </w:r>
    </w:p>
    <w:p>
      <w:r>
        <w:rPr>
          <w:color w:val="555555"/>
          <w:sz w:val="18"/>
        </w:rPr>
        <w:t xml:space="preserve">Stand: 10.06.2019 (konsolidierte Textfassung, kein amtliches Inkrafttretensdatum)</w:t>
      </w:r>
    </w:p>
    <w:p>
      <w:r>
        <w:t xml:space="preserve">(1) Für die Wahl der Vertreter des Handwerks und des handwerksähnlichen Gewerbes dient als Wahlunterlage ein von der Handwerkskammer herzustellender und zu beglaubigender Auszug aus der Handwerksrolle und dem Verzeichnis nach § 19 der Handwerksordnung, der alle am Wahltag Wahlberechtigten der Handwerkskammer enthält (Wahlverzeichnis). Wählen kann nur, wer in dem Wahlverzeichnis eingetragen ist.</w:t>
      </w:r>
    </w:p>
    <w:p>
      <w:r>
        <w:t xml:space="preserve">(2) Das Wahlverzeichnis ist öffentlich auszulegen. Die Auslegungszeit und den Ort bestimmt der Wahlleiter. Innerhalb der Auslegungsfrist ist das Anfertigen von Auszügen aus dem Wählerverzeichnis durch Wahlberechtigte zulässig, soweit dies im Zusammenhang mit der Prüfung des Wahlrechts einzelner bestimmter Personen steht. Die Auszüge dürfen nur für diesen Zweck verwendet und unbeteiligten Dritten nicht zugänglich gemacht werden.</w:t>
      </w:r>
    </w:p>
    <w:p>
      <w:r>
        <w:t xml:space="preserve">(3) Wer das Wahlverzeichnis für unrichtig oder unvollständig hält, kann dagegen bis zum Ablauf der Auslegungsfrist bei der Handwerkskammer oder einem von ihr ernannten Beauftragten schriftlich oder zur Niederschrift Einspruch einlegen. Soweit die Richtigkeit seiner Behauptung nicht offenkundig ist, hat er für sie Beweismittel beizubringen.</w:t>
      </w:r>
    </w:p>
    <w:p>
      <w:r>
        <w:t xml:space="preserve">(4) Wenn der Einspruch nicht für begründet erachtet wird, entscheidet über ihn die höhere Verwaltungsbehörde.</w:t>
      </w:r>
    </w:p>
    <w:p>
      <w:r>
        <w:t xml:space="preserve">(5) Die Entscheidung muß spätestens am vorletzten Tag vor dem Abstimmungstag gefällt und den Beteiligten bekanntgegeben sein.</w:t>
      </w:r>
    </w:p>
    <w:p>
      <w:r>
        <w:t xml:space="preserve">(6) Wenn die Auslegungsfrist abgelaufen ist, können Stimmberechtigte nur auf rechtzeitig angebrachte Einsprüche aufgenommen oder gestrichen werden.</w:t>
      </w:r>
    </w:p>
    <w:p>
      <w:r>
        <w:t xml:space="preserve">(7) Wird das Wahlverzeichnis berichtigt, so sind die Gründe der Streichungen in Spalte "Bemerkungen" anzugeben. Wenn das Stimmrecht ruht oder der Stimmberechtigte in der Ausübung des Stimmrechts behindert ist, so ist dies in dem Wahlverzeichnis besonders zu bezeichnen. Ergänzungen sind als Nachtrag aufzunehmen.</w:t>
      </w:r>
    </w:p>
    <w:p>
      <w:r>
        <w:t xml:space="preserve">(8) Das Wählerverzeichnis ist bis zum Wahltag fortzuführen.</w:t>
      </w:r>
    </w:p>
    <w:p>
      <w:r>
        <w:rPr>
          <w:color w:val="555555"/>
          <w:sz w:val="17"/>
        </w:rPr>
        <w:t xml:space="preserve">Zitiervorschlag: § 12 HwWahlO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https://recht.nulegal.eu/gesetze/HwWahlO/12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HwWahlO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