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HwWahlO</w:t>
      </w:r>
    </w:p>
    <w:p>
      <w:r>
        <w:rPr>
          <w:color w:val="555555"/>
          <w:sz w:val="18"/>
        </w:rPr>
        <w:t xml:space="preserve">Wahlordnung für die Wahlen der Mitglieder der Vollversammlung der Handwerkskammern (Anlage C zu dem Gesetz zur Ordnung des Handwerks (Handwerksordnung))</w:t>
      </w:r>
    </w:p>
    <w:p>
      <w:r>
        <w:rPr>
          <w:color w:val="555555"/>
          <w:sz w:val="18"/>
        </w:rPr>
        <w:t xml:space="preserve">Stand: 10.06.2019 (konsolidierte Textfassung, kein amtliches Inkrafttretensdatum)</w:t>
      </w:r>
    </w:p>
    <w:p>
      <w:r>
        <w:t xml:space="preserve">(1) Weisen die Wahlvorschläge Mängel auf, so fordert der Wahlleiter die Vertrauenspersonen unter Setzung einer angemessenen Frist zu deren Beseitigung auf.</w:t>
      </w:r>
    </w:p>
    <w:p>
      <w:r>
        <w:t xml:space="preserve">(2) Spätestens am zwanzigsten Tag vor dem Wahltag entscheidet der Wahlausschuß (§ 2) über die Zulassung der Wahlvorschläge.</w:t>
      </w:r>
    </w:p>
    <w:p>
      <w:r>
        <w:t xml:space="preserve">(3) Die Vertrauenspersonen der Wahlvorschläge sind über Ort, Zeit und Gegenstand der Sitzung zu benachrichtigen.</w:t>
      </w:r>
    </w:p>
    <w:p>
      <w:r>
        <w:t xml:space="preserve">(4) Nicht zuzulassen sind Wahlvorschläge, die zu spät eingereicht sind oder den gesetzlichen Voraussetzungen nicht entsprechen.</w:t>
      </w:r>
    </w:p>
    <w:p>
      <w:r>
        <w:t xml:space="preserve">(5) Nachdem die Wahlvorschläge festgesetzt sind, können sie nicht mehr geändert werden.</w:t>
      </w:r>
    </w:p>
    <w:p>
      <w:r>
        <w:t xml:space="preserve">(6) Der Wahlleiter veröffentlicht spätestens am fünfzehnten Tag vor dem Wahltag die zugelassenen Wahlvorschläge in den für die Bekanntmachung der Handwerkskammer bestimmten Organen in der zugelassenen Form, aber ohne die Namen der Unterzeichner. Jeder Wahlvorschlag soll eine fortlaufende Nummer und ein Kennwort erhalten, das ihn von allen anderen Wahlvorschlägen deutlich unterscheidet.</w:t>
      </w:r>
    </w:p>
    <w:p>
      <w:r>
        <w:rPr>
          <w:color w:val="555555"/>
          <w:sz w:val="17"/>
        </w:rPr>
        <w:t xml:space="preserve">Zitiervorschlag: § 11 HwWahlO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https://recht.nulegal.eu/gesetze/HwWahlO/11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