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HwWahlO</w:t>
      </w:r>
    </w:p>
    <w:p>
      <w:r>
        <w:rPr>
          <w:color w:val="555555"/>
          <w:sz w:val="18"/>
        </w:rPr>
        <w:t xml:space="preserve">Wahlordnung für die Wahlen der Mitglieder der Vollversammlung der Handwerkskammern (Anlage C zu dem Gesetz zur Ordnung des Handwerks (Handwerksordnung))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Vorstand der Handwerkskammer bestimmt den Tag der Wahl. Er bestellt einen Wahlleiter sowie einen Stellvertreter, die nicht zu den Wahlberechtigten gemäß § 96 Abs. 1 und § 98 der Handwerksordnung gehören und nicht Mitarbeiter der Handwerkskammer sein dürfen.</w:t>
      </w:r>
    </w:p>
    <w:p>
      <w:r>
        <w:rPr>
          <w:color w:val="555555"/>
          <w:sz w:val="17"/>
        </w:rPr>
        <w:t xml:space="preserve">Zitiervorschlag: § 1 HwWahlO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https://recht.nulegal.eu/gesetze/HwWahlO/1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HwWahlO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