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HwVerwdtV</w:t>
      </w:r>
    </w:p>
    <w:p>
      <w:r>
        <w:rPr>
          <w:color w:val="555555"/>
          <w:sz w:val="18"/>
        </w:rPr>
        <w:t xml:space="preserve">Verordnung über verwandte Handwerke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1 Satz 2 des Gesetzes zur Ordnung des Handwerks (Handwerksordnung) in der Fassung der Bekanntmachung vom 28. Dezember 1965 (Bundesgesetzbl. 1966 I S. 1), geändert durch das Einführungsgesetz zum Gesetz über Ordnungswidrigkeiten vom 24. Mai 1968 (Bundesgesetzblatt I S. 503), wird mit Zustimmung des Bundesrates verordnet:</w:t>
      </w:r>
    </w:p>
    <w:p>
      <w:r>
        <w:rPr>
          <w:color w:val="555555"/>
          <w:sz w:val="17"/>
        </w:rPr>
        <w:t xml:space="preserve">Zitiervorschlag: Eingangsformel HwVerwdtV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https://recht.nulegal.eu/gesetze/HwVerwdtV/eingangsformel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