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HwVerwdtV</w:t>
      </w:r>
    </w:p>
    <w:p>
      <w:r>
        <w:rPr>
          <w:color w:val="555555"/>
          <w:sz w:val="18"/>
        </w:rPr>
        <w:t xml:space="preserve">Verordnung über verwandte Handwerke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Anlage zu dieser Verordnung in Spalte I aufgeführten zulassungspflichtige Handwerke sind mit den unter der gleichen Nummer in Spalte II aufgeführten zulassungspflichtigen Handwerken im Sinne des § 7 Abs. 1 Satz 2 der Handwerksordnung verwandt.</w:t>
      </w:r>
    </w:p>
    <w:p>
      <w:r>
        <w:rPr>
          <w:color w:val="555555"/>
          <w:sz w:val="17"/>
        </w:rPr>
        <w:t xml:space="preserve">Zitiervorschlag: § 1 HwVerwdtV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https://recht.nulegal.eu/gesetze/HwVerwdtV/1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