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HwStatG 1994 — Zählungen im Handwerk</w:t>
      </w:r>
    </w:p>
    <w:p>
      <w:r>
        <w:rPr>
          <w:color w:val="555555"/>
          <w:sz w:val="18"/>
        </w:rPr>
        <w:t xml:space="preserve">Handwerkstatistikgesetz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Zählungen nach § 1 Abs. 2 Nr. 2 werden jährlich, beginnend 2009, für die Erhebungseinheiten nach § 2 Angaben aus dem Statistikregister und Angaben, die nach § 3 Nr. 4 des Verwaltungsdatenverwendungsgesetzes übermittelt werden, ausgewertet.</w:t>
      </w:r>
    </w:p>
    <w:p>
      <w:r>
        <w:rPr>
          <w:color w:val="555555"/>
          <w:sz w:val="17"/>
        </w:rPr>
        <w:t xml:space="preserve">Zitiervorschlag: § 4 HwStatG 1994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https://recht.nulegal.eu/gesetze/HwStatG%201994/4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