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HwStatG 1994 — Vierteljährliche Erhebung</w:t>
      </w:r>
    </w:p>
    <w:p>
      <w:r>
        <w:rPr>
          <w:color w:val="555555"/>
          <w:sz w:val="18"/>
        </w:rPr>
        <w:t xml:space="preserve">Handwerkstatistikgesetz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Erhebung nach § 1 Abs. 2 Nr. 1 werden, beginnend mit dem ersten Kalendervierteljahr 2008, Verwaltungsdaten ausgewertet, die den Statistikbehörden des Bundes und der Länder nach den §§ 2 und 3 des Verwaltungsdatenverwendungsgesetzes übermittelt werden.</w:t>
      </w:r>
    </w:p>
    <w:p>
      <w:r>
        <w:t xml:space="preserve">(2) Erhebungsmerkmale der Statistik sind:</w:t>
      </w:r>
    </w:p>
    <w:p>
      <w:pPr>
        <w:ind w:left="420"/>
      </w:pPr>
      <w:r>
        <w:t xml:space="preserve">1. Umsatz im abgelaufenen Kalendervierteljahr,</w:t>
      </w:r>
    </w:p>
    <w:p>
      <w:pPr>
        <w:ind w:left="420"/>
      </w:pPr>
      <w:r>
        <w:t xml:space="preserve">2. Zahl der tätigen Personen zum Ende des abgelaufenen Kalendervierteljahres,</w:t>
      </w:r>
    </w:p>
    <w:p>
      <w:pPr>
        <w:ind w:left="420"/>
      </w:pPr>
      <w:r>
        <w:t xml:space="preserve">3. hauptsächlich ausgeübtes Gewerbe nach der Anlage A oder der Anlage B Abschnitt 1 der Handwerksordnung,</w:t>
      </w:r>
    </w:p>
    <w:p>
      <w:pPr>
        <w:ind w:left="420"/>
      </w:pPr>
      <w:r>
        <w:t xml:space="preserve">4. ausgeübte wirtschaftliche Tätigkeiten und deren Schwerpunkt.</w:t>
      </w:r>
    </w:p>
    <w:p>
      <w:r>
        <w:t xml:space="preserve">(3) Die Erhebungsmerkmale nach Absatz 2 Nr. 1 und 2 werden vierteljährlich erfaßt, die Erhebungsmerkmale nach den Nummern 3 und 4 zum Ende jedes dritten Kalendervierteljahres.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3 HwStatG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https://recht.nulegal.eu/gesetze/HwStatG%201994/3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