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HwStatG 1994 — Erhebungseinheiten</w:t>
      </w:r>
    </w:p>
    <w:p>
      <w:r>
        <w:rPr>
          <w:color w:val="555555"/>
          <w:sz w:val="18"/>
        </w:rPr>
        <w:t xml:space="preserve">Handwerkstatistikgesetz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Erhebungseinheiten sind selbständige Betriebe und Unternehmen</w:t>
      </w:r>
    </w:p>
    <w:p>
      <w:pPr>
        <w:ind w:left="420"/>
      </w:pPr>
      <w:r>
        <w:t xml:space="preserve">1. des zulassungspflichtigen Handwerks nach Anlage A und</w:t>
      </w:r>
    </w:p>
    <w:p>
      <w:pPr>
        <w:ind w:left="420"/>
      </w:pPr>
      <w:r>
        <w:t xml:space="preserve">2. des zulassungsfreien Handwerks nach Anlage B Abschnitt 1</w:t>
      </w:r>
    </w:p>
    <w:p>
      <w:r>
        <w:t xml:space="preserve">der Handwerksordnung.</w:t>
      </w:r>
    </w:p>
    <w:p>
      <w:r>
        <w:rPr>
          <w:color w:val="555555"/>
          <w:sz w:val="17"/>
        </w:rPr>
        <w:t xml:space="preserve">Zitiervorschlag: § 2 HwStatG 1994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https://recht.nulegal.eu/gesetze/HwStatG%201994/2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