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HwStatG 1994 — Zweck, Umfang</w:t>
      </w:r>
    </w:p>
    <w:p>
      <w:r>
        <w:rPr>
          <w:color w:val="555555"/>
          <w:sz w:val="18"/>
        </w:rPr>
        <w:t xml:space="preserve">Handwerkstatistikgesetz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Zur Darstellung des Verlaufs und der Struktur der wirtschaftlichen Tätigkeit im Handwerk werden statistische Erhebungen als Bundesstatistik durchgeführt.</w:t>
      </w:r>
    </w:p>
    <w:p>
      <w:r>
        <w:t xml:space="preserve">(2) Die Statistik umfaßt</w:t>
      </w:r>
    </w:p>
    <w:p>
      <w:pPr>
        <w:ind w:left="420"/>
      </w:pPr>
      <w:r>
        <w:t xml:space="preserve">1. vierteljährliche Erhebungen,</w:t>
      </w:r>
    </w:p>
    <w:p>
      <w:pPr>
        <w:ind w:left="420"/>
      </w:pPr>
      <w:r>
        <w:t xml:space="preserve">2. Zählungen.</w:t>
      </w:r>
    </w:p>
    <w:p>
      <w:r>
        <w:t xml:space="preserve">(3) (weggefallen)</w:t>
      </w:r>
    </w:p>
    <w:p>
      <w:r>
        <w:rPr>
          <w:color w:val="555555"/>
          <w:sz w:val="17"/>
        </w:rPr>
        <w:t xml:space="preserve">Zitiervorschlag: § 1 HwStatG 1994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https://recht.nulegal.eu/gesetze/HwStatG%201994/1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