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HwREintrV — Antrag</w:t>
      </w:r>
    </w:p>
    <w:p>
      <w:r>
        <w:rPr>
          <w:color w:val="555555"/>
          <w:sz w:val="18"/>
        </w:rPr>
        <w:t xml:space="preserve">Verordnung über die Anerkennung von Prüfungen für die Eintragung in die Handwerksrolle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Eintragung in die Handwerksrolle ist bei der Handwerkskammer zu beantragen.</w:t>
      </w:r>
    </w:p>
    <w:p>
      <w:r>
        <w:rPr>
          <w:color w:val="555555"/>
          <w:sz w:val="17"/>
        </w:rPr>
        <w:t xml:space="preserve">Zitiervorschlag: § 4 HwREintrV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https://recht.nulegal.eu/gesetze/HwREintrV/4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