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HwPGV — Auflösung</w:t>
      </w:r>
    </w:p>
    <w:p>
      <w:r>
        <w:rPr>
          <w:color w:val="555555"/>
          <w:sz w:val="18"/>
        </w:rPr>
        <w:t xml:space="preserve">Verordnung über die Gründung, Tätigkeit und Umwandlung von Produktionsgenossenschaften des Handwerks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(1) Die Auflösung der PGH erfolgt entsprechend den Bestimmungen des "Gesetzes betreffend die Erwerbs- und Wirtschaftsgenossenschaften" nach Bestätigung der Abschlußbilanz durch den Rat des Kreises.</w:t>
      </w:r>
    </w:p>
    <w:p>
      <w:r>
        <w:t xml:space="preserve">(2) Über die auszuzahlenden prozentualen Anteile aus dem Liquidationserlös an die Mitglieder entscheidet die Mitgliederversammlung nach Tilgung der Verbindlichkeiten der PGH laut Abschlußbilanz gemäß § 4 Abs. 4.</w:t>
      </w:r>
    </w:p>
    <w:p>
      <w:r>
        <w:t xml:space="preserve">(3) Die ausgezahlten Anteile an den unteilbaren genossenschaftlichen Fonds unterliegen der Besteuerung nach den geltenden Rechtsvorschriften.</w:t>
      </w:r>
    </w:p>
    <w:p>
      <w:r>
        <w:rPr>
          <w:color w:val="555555"/>
          <w:sz w:val="17"/>
        </w:rPr>
        <w:t xml:space="preserve">Zitiervorschlag: § 7 HwPGV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https://recht.nulegal.eu/gesetze/HwPGV/7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