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HwPGV</w:t>
      </w:r>
    </w:p>
    <w:p>
      <w:r>
        <w:rPr>
          <w:color w:val="555555"/>
          <w:sz w:val="18"/>
        </w:rPr>
        <w:t xml:space="preserve">Verordnung über die Gründung, Tätigkeit und Umwandlung von Produktionsgenossenschaften des Handwerks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PGH gibt sich ein Statut und beschließt darüber in der Mitgliederversammlung.</w:t>
      </w:r>
    </w:p>
    <w:p>
      <w:r>
        <w:t xml:space="preserve">(2) Das Statut muß mindestens beinhalten:</w:t>
      </w:r>
    </w:p>
    <w:p>
      <w:pPr>
        <w:ind w:left="420"/>
      </w:pPr>
      <w:r>
        <w:t xml:space="preserve">- Name und Sitz der PGH;</w:t>
      </w:r>
    </w:p>
    <w:p>
      <w:pPr>
        <w:ind w:left="420"/>
      </w:pPr>
      <w:r>
        <w:t xml:space="preserve">- Festlegungen über die Bildung, Tätigkeit, Verantwortung und Vollmachten der Organe der PGH und der Rechte und Pflichten der Mitglieder;</w:t>
      </w:r>
    </w:p>
    <w:p>
      <w:pPr>
        <w:ind w:left="420"/>
      </w:pPr>
      <w:r>
        <w:t xml:space="preserve">- die Bildung und Verwendung genossenschaftlicher Fonds;</w:t>
      </w:r>
    </w:p>
    <w:p>
      <w:pPr>
        <w:ind w:left="420"/>
      </w:pPr>
      <w:r>
        <w:t xml:space="preserve">- die Höhe der von den Mitgliedern in die PGH einzubringenden Anteile.</w:t>
      </w:r>
    </w:p>
    <w:p>
      <w:r>
        <w:t xml:space="preserve">(3) Durch den Vorstand der PGH kann ein Geschäftsführer eingesetzt werden.</w:t>
      </w:r>
    </w:p>
    <w:p>
      <w:r>
        <w:t xml:space="preserve">(4) Die PGH erlangt ihre Rechtsfähigkeit mit der Registrierung beim zuständigen Registerorgan.</w:t>
      </w:r>
    </w:p>
    <w:p>
      <w:r>
        <w:rPr>
          <w:color w:val="555555"/>
          <w:sz w:val="17"/>
        </w:rPr>
        <w:t xml:space="preserve">Zitiervorschlag: § 2 HwPGV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https://recht.nulegal.eu/gesetze/HwPGV/2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