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HwPGV — Grundsätze</w:t>
      </w:r>
    </w:p>
    <w:p>
      <w:r>
        <w:rPr>
          <w:color w:val="555555"/>
          <w:sz w:val="18"/>
        </w:rPr>
        <w:t xml:space="preserve">Verordnung über die Gründung, Tätigkeit und Umwandlung von Produktionsgenossenschaften des Handwerks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Produktionsgenossenschaften des Handwerks (nachfolgend PGH genannt) sind der freiwillige Zusammenschluß von Handwerkern und arbeiten auf der Grundlage des genossenschaftlichen Eigentums.</w:t>
      </w:r>
    </w:p>
    <w:p>
      <w:r>
        <w:t xml:space="preserve">(2) PGH sind juristisch selbständig und haften für ihre Verbindlichkeiten mit ihrem gesamten Vermögen.</w:t>
      </w:r>
    </w:p>
    <w:p>
      <w:r>
        <w:rPr>
          <w:color w:val="555555"/>
          <w:sz w:val="17"/>
        </w:rPr>
        <w:t xml:space="preserve">Zitiervorschlag: § 1 HwPGV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https://recht.nulegal.eu/gesetze/HwPGV/1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