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HwOZustV (Bayern)</w:t>
      </w:r>
    </w:p>
    <w:p>
      <w:r>
        <w:rPr>
          <w:color w:val="555555"/>
          <w:sz w:val="18"/>
        </w:rPr>
        <w:t xml:space="preserve">Zuständigkeitsverordnung zur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2005 in Kraft. Mit Ablauf des 30. Juni 2005 treten</w:t>
      </w:r>
    </w:p>
    <w:p>
      <w:r>
        <w:t xml:space="preserve">1. die Zweite Zuständigkeitsverordnung zur Handwerksordnung (2. ZustVHwO) vom 24. März 1976 (BayRS 7110–2–W) und</w:t>
      </w:r>
    </w:p>
    <w:p>
      <w:r>
        <w:t xml:space="preserve">2. die Verordnung über die Einziehung von Beiträgen der Handwerkskammern vom 10. April 1973 (BayRS 7110–5–W)</w:t>
      </w:r>
    </w:p>
    <w:p>
      <w:r>
        <w:t xml:space="preserve">außer Kraft.</w:t>
      </w:r>
    </w:p>
    <w:p>
      <w:r>
        <w:rPr>
          <w:color w:val="555555"/>
          <w:sz w:val="17"/>
        </w:rPr>
        <w:t xml:space="preserve">Zitiervorschlag: § 4 HwOZustV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https://recht.nulegal.eu/gesetze/HwOZustV/4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