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HwOZustV (Bayern)</w:t>
      </w:r>
    </w:p>
    <w:p>
      <w:r>
        <w:rPr>
          <w:color w:val="555555"/>
          <w:sz w:val="18"/>
        </w:rPr>
        <w:t xml:space="preserve">Zuständigkeitsverordnung zur Handwerksordnung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zuständige Behörde zur Untersagung der Fortsetzung des Betriebs eines entgegen den Vorschriften der Handwerksordnung ausgeübten zulassungspflichtigen Handwerks als stehendes Gewerbe gemäß § 16 Abs. 3 Satz 1 der Handwerksordnung wird die Kreisverwaltungsbehörde bestimmt.</w:t>
      </w:r>
    </w:p>
    <w:p>
      <w:r>
        <w:rPr>
          <w:color w:val="555555"/>
          <w:sz w:val="17"/>
        </w:rPr>
        <w:t xml:space="preserve">Zitiervorschlag: § 2 HwOZustV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https://recht.nulegal.eu/gesetze/HwOZustV/2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