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HwO</w:t>
      </w:r>
    </w:p>
    <w:p>
      <w:r>
        <w:rPr>
          <w:color w:val="555555"/>
          <w:sz w:val="18"/>
        </w:rPr>
        <w:t xml:space="preserve">Handwerksordnung</w:t>
      </w:r>
    </w:p>
    <w:p>
      <w:r>
        <w:rPr>
          <w:color w:val="555555"/>
          <w:sz w:val="18"/>
        </w:rPr>
        <w:t xml:space="preserve">Stand: 10.06.2019 (konsolidierte Textfassung, kein amtliches Inkrafttretensdatum)</w:t>
      </w:r>
    </w:p>
    <w:p>
      <w:r>
        <w:t xml:space="preserve">(1) Berechtigt zur Wahl der Vertreter der Arbeitnehmer in der Handwerkskammer sind die Gesellen und die weiteren Arbeitnehmer mit abgeschlossener Berufsausbildung, sofern sie am Tag der Wahl volljährig sind und in einem Betrieb eines Handwerks oder eines handwerksähnlichen Gewerbes beschäftigt sind. § 96 Abs. 2 und 3 findet Anwendung.</w:t>
      </w:r>
    </w:p>
    <w:p>
      <w:r>
        <w:t xml:space="preserve">(2) Kurzzeitig bestehende Arbeitslosigkeit läßt das Wahlrecht unberührt, wenn diese zum Zeitpunkt der Wahl nicht länger als drei Monate besteht.</w:t>
      </w:r>
    </w:p>
    <w:p>
      <w:r>
        <w:rPr>
          <w:color w:val="555555"/>
          <w:sz w:val="17"/>
        </w:rPr>
        <w:t xml:space="preserve">Zitiervorschlag: § 98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