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Wählbar als Vertreter der zulassungspflichtigen Handwerke sind</w:t>
      </w:r>
    </w:p>
    <w:p>
      <w:pPr>
        <w:ind w:left="420"/>
      </w:pPr>
      <w:r>
        <w:t xml:space="preserve">1. die wahlberechtigten natürlichen Personen, sofern sie</w:t>
      </w:r>
    </w:p>
    <w:p>
      <w:pPr>
        <w:ind w:left="780"/>
      </w:pPr>
      <w:r>
        <w:t xml:space="preserve">a) im Bezirk der Handwerkskammer seit mindestens einem Jahr ohne Unterbrechung ein Handwerk selbständig betreiben,</w:t>
      </w:r>
    </w:p>
    <w:p>
      <w:pPr>
        <w:ind w:left="780"/>
      </w:pPr>
      <w:r>
        <w:t xml:space="preserve">b) die Befugnis zum Ausbilden von Lehrlingen besitzen,</w:t>
      </w:r>
    </w:p>
    <w:p>
      <w:pPr>
        <w:ind w:left="780"/>
      </w:pPr>
      <w:r>
        <w:t xml:space="preserve">c) am Wahltag volljährig sind</w:t>
      </w:r>
    </w:p>
    <w:p>
      <w:pPr>
        <w:ind w:left="420"/>
      </w:pPr>
      <w:r>
        <w:t xml:space="preserve">2. die gesetzlichen Vertreter der wahlberechtigten juristischen Personen und die vertretungsberechtigten Gesellschafter der wahlberechtigten Personengesellschaften, sofern</w:t>
      </w:r>
    </w:p>
    <w:p>
      <w:pPr>
        <w:ind w:left="780"/>
      </w:pPr>
      <w:r>
        <w:t xml:space="preserve">a) die von ihnen vertretene juristische Person oder Personengesellschaft im Bezirk der Handwerkskammer seit mindestens einem Jahr ein Handwerk selbständig betreibt und</w:t>
      </w:r>
    </w:p>
    <w:p>
      <w:pPr>
        <w:ind w:left="780"/>
      </w:pPr>
      <w:r>
        <w:t xml:space="preserve">b) sie im Bezirk der Handwerkskammer seit mindestens einem Jahr ohne Unterbrechung gesetzliche Vertreter oder vertretungsberechtigte Gesellschafter einer in der Handwerksrolle eingetragenen juristischen Person oder Personengesellschaft sind, am Wahltag volljährig sind.</w:t>
      </w:r>
    </w:p>
    <w:p>
      <w:r>
        <w:t xml:space="preserve">Nicht wählbar ist, wer infolge Richterspruchs die Fähigkeit zur Bekleidung öffentlicher Ämter oder infolge strafgerichtlicher Verurteilung die Fähigkeit, Rechte aus öffentlichen Wahlen zu erlangen, nicht besitzt.</w:t>
      </w:r>
    </w:p>
    <w:p>
      <w:r>
        <w:t xml:space="preserve">(2) Bei der Berechnung der Fristen in Absatz 1 Nr. 1 Buchstabe a und Nr. 2 Buchstabe b sind die Tätigkeiten als selbständiger Handwerker in einem zulassungspflichtigen Handwerk und als gesetzlicher Vertreter oder vertretungsberechtigter Gesellschafter einer in der Handwerksrolle eingetragenen juristischen Person oder Personengesellschaft gegenseitig anzurechnen.</w:t>
      </w:r>
    </w:p>
    <w:p>
      <w:r>
        <w:t xml:space="preserve">(3) Für die Wahl der Vertreter der zulassungsfreien Handwerke, der handwerksähnlichen Gewerbe und der Personen nach § 90 Abs. 3 und 4 gelten die Absätze 1 und 2 entsprechend.</w:t>
      </w:r>
    </w:p>
    <w:p>
      <w:r>
        <w:rPr>
          <w:color w:val="555555"/>
          <w:sz w:val="17"/>
        </w:rPr>
        <w:t xml:space="preserve">Zitiervorschlag: § 97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