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Berechtigt zur Wahl der Vertreter des Handwerks und des handwerksähnlichen Gewerbes sind die in der Handwerksrolle (§ 6) oder im Verzeichnis nach § 19 eingetragenen natürlichen und juristischen Personen und Personengesellschaften sowie die in das Verzeichnis nach § 90 Abs. 4 Satz 2 eingetragenen natürlichen Personen. Die nach § 90 Abs. 4 Satz 2 eingetragenen Personen sind zur Wahl der Vertreter der Personen nach § 90 Abs. 3 und 4 berechtigt, sofern die Satzung dies nach § 93 bestimmt. Das Wahlrecht kann nur von volljährigen Personen ausgeübt werden. Juristische Personen und Personengesellschaften haben jeweils nur eine Stimme.</w:t>
      </w:r>
    </w:p>
    <w:p>
      <w:r>
        <w:t xml:space="preserve">(2) Nicht wahlberechtigt sind Personen, die infolge strafgerichtlicher Verurteilung das Recht, in öffentlichen Angelegenheiten zu wählen oder zu stimmen, nicht besitzen.</w:t>
      </w:r>
    </w:p>
    <w:p>
      <w:r>
        <w:t xml:space="preserve">(3) An der Ausübung des Wahlrechts ist behindert,</w:t>
      </w:r>
    </w:p>
    <w:p>
      <w:pPr>
        <w:ind w:left="420"/>
      </w:pPr>
      <w:r>
        <w:t xml:space="preserve">1. wer wegen Geisteskrankheit oder Geistesschwäche in einem psychiatrischen Krankenhaus untergebracht ist,</w:t>
      </w:r>
    </w:p>
    <w:p>
      <w:pPr>
        <w:ind w:left="420"/>
      </w:pPr>
      <w:r>
        <w:t xml:space="preserve">2. wer sich in Straf- oder Untersuchungshaft befindet,</w:t>
      </w:r>
    </w:p>
    <w:p>
      <w:pPr>
        <w:ind w:left="420"/>
      </w:pPr>
      <w:r>
        <w:t xml:space="preserve">3. wer infolge gerichtlicher oder polizeilicher Anordnung in Verwahrung gehalten wird.</w:t>
      </w:r>
    </w:p>
    <w:p>
      <w:r>
        <w:rPr>
          <w:color w:val="555555"/>
          <w:sz w:val="17"/>
        </w:rPr>
        <w:t xml:space="preserve">Zitiervorschlag: § 96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