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der Vollversammlung und ihre Stellvertreter werden durch Listen in allgemeiner, freier, gleicher und geheimer Wahl gewählt. Die Wahlen zur Vollversammlung werden im Briefwahlverfahren durchgeführt.</w:t>
      </w:r>
    </w:p>
    <w:p>
      <w:r>
        <w:t xml:space="preserve">(2) Das Wahlverfahren regelt sich nach der diesem Gesetz als Anlage C beigefügten Wahlordnung.</w:t>
      </w:r>
    </w:p>
    <w:p>
      <w:r>
        <w:rPr>
          <w:color w:val="555555"/>
          <w:sz w:val="17"/>
        </w:rPr>
        <w:t xml:space="preserve">Zitiervorschlag: § 95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