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Organe der Handwerkskammer sind</w:t>
      </w:r>
    </w:p>
    <w:p>
      <w:pPr>
        <w:ind w:left="420"/>
      </w:pPr>
      <w:r>
        <w:t xml:space="preserve">1. die Mitgliederversammlung (Vollversammlung),</w:t>
      </w:r>
    </w:p>
    <w:p>
      <w:pPr>
        <w:ind w:left="420"/>
      </w:pPr>
      <w:r>
        <w:t xml:space="preserve">2. der Vorstand,</w:t>
      </w:r>
    </w:p>
    <w:p>
      <w:pPr>
        <w:ind w:left="420"/>
      </w:pPr>
      <w:r>
        <w:t xml:space="preserve">3. die Ausschüsse.</w:t>
      </w:r>
    </w:p>
    <w:p>
      <w:r>
        <w:rPr>
          <w:color w:val="555555"/>
          <w:sz w:val="17"/>
        </w:rPr>
        <w:t xml:space="preserve">Zitiervorschlag: § 92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