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Vertretung der Interessen des Handwerks werden Handwerkskammern errichtet; sie sind Körperschaften des öffentlichen Rechts.</w:t>
      </w:r>
    </w:p>
    <w:p>
      <w:r>
        <w:t xml:space="preserve">(2) Zur Handwerkskammer gehören die Inhaber eines Betriebs eines Handwerks und eines handwerksähnlichen Gewerbes des Handwerkskammerbezirks sowie die Gesellen, andere Arbeitnehmer mit einer abgeschlossenen Berufsausbildung und die Lehrlinge dieser Gewerbetreibenden.</w:t>
      </w:r>
    </w:p>
    <w:p>
      <w:r>
        <w:t xml:space="preserve">(3) Zur Handwerkskammer gehören auch Personen, die im Kammerbezirk selbständig eine gewerbliche Tätigkeit nach § 1 Abs. 2 Satz 2 Nr. 1 ausüben, wenn</w:t>
      </w:r>
    </w:p>
    <w:p>
      <w:pPr>
        <w:ind w:left="420"/>
      </w:pPr>
      <w:r>
        <w:t xml:space="preserve">1. sie die Gesellenprüfung in einem zulassungspflichtigen Handwerk erfolgreich abgelegt haben,</w:t>
      </w:r>
    </w:p>
    <w:p>
      <w:pPr>
        <w:ind w:left="420"/>
      </w:pPr>
      <w:r>
        <w:t xml:space="preserve">2. die betreffende Tätigkeit Bestandteil der Erstausbildung in diesem zulassungspflichtigen Handwerk war und</w:t>
      </w:r>
    </w:p>
    <w:p>
      <w:pPr>
        <w:ind w:left="420"/>
      </w:pPr>
      <w:r>
        <w:t xml:space="preserve">3. die Tätigkeit den überwiegenden Teil der gewerblichen Tätigkeit ausmacht.</w:t>
      </w:r>
    </w:p>
    <w:p>
      <w:r>
        <w:t xml:space="preserve">Satz 1 gilt entsprechend auch für Personen, die ausbildungsvorbereitende Maßnahmen erfolgreich absolviert haben, wenn diese Maßnahmen überwiegend Ausbildungsinhalte in Ausbildungsordnungen vermitteln, die nach § 25 erlassen worden sind und insgesamt einer abgeschlossenen Gesellenausbildung im Wesentlichen entsprechen.</w:t>
      </w:r>
    </w:p>
    <w:p>
      <w:r>
        <w:t xml:space="preserve">(4) Absatz 3 findet nur unter der Voraussetzung Anwendung, dass die Tätigkeit in einer dem Handwerk entsprechenden Betriebsform erbracht wird. Satz 1 und Absatz 3 gelten nur für Gewerbetreibende, die erstmalig nach dem 30. Dezember 2003 eine gewerbliche Tätigkeit anmelden. Die Handwerkskammer hat ein Verzeichnis zu führen, in welches die Personen nach § 90 Abs. 3 und 4 ihres Bezirks nach Maßgabe der Anlage D Abschnitt IV zu diesem Gesetz mit dem von ihnen betriebenen Gewerbe einzutragen sind (Verzeichnis der Personen nach § 90 Abs. 3 und 4 der Handwerksordnung).</w:t>
      </w:r>
    </w:p>
    <w:p>
      <w:r>
        <w:t xml:space="preserve">(5) Die Landesregierungen werden ermächtigt, durch Rechtsverordnung Handwerkskammern zu errichten und die Bezirke der Handwerkskammern zu bestimmen; die Bezirke sollen sich in der Regel mit denen der höheren Verwaltungsbehörde decken. Wird der Bezirk einer Handwerkskammer nach Satz 1 geändert, muss eine Vermögensauseinandersetzung erfolgen, welche der Genehmigung durch die oberste Landesbehörde bedarf. Können sich die beteiligten Handwerkskammern hierüber nicht einigen, so entscheidet die oberste Landesbehörde.</w:t>
      </w:r>
    </w:p>
    <w:p>
      <w:r>
        <w:rPr>
          <w:color w:val="555555"/>
          <w:sz w:val="17"/>
        </w:rPr>
        <w:t xml:space="preserve">Zitiervorschlag: § 90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