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Kreishandwerkerschaft finden entsprechende Anwendung:</w:t>
      </w:r>
    </w:p>
    <w:p>
      <w:pPr>
        <w:ind w:left="420"/>
      </w:pPr>
      <w:r>
        <w:t xml:space="preserve">1. § 53 und § 55 mit Ausnahme des Absatzes 2 Nummern 3 und 7 sowie hinsichtlich der Voraussetzungen für die Änderung der Satzung § 55 Abs. 2 Nr. 10,</w:t>
      </w:r>
    </w:p>
    <w:p>
      <w:pPr>
        <w:ind w:left="420"/>
      </w:pPr>
      <w:r>
        <w:t xml:space="preserve">2. § 56 Abs. 1 und Abs. 2 Nr. 1,</w:t>
      </w:r>
    </w:p>
    <w:p>
      <w:pPr>
        <w:ind w:left="420"/>
      </w:pPr>
      <w:r>
        <w:t xml:space="preserve">3. § 60 und § 61 Abs. 1, Abs. 2 Nr. 1 bis 5, 7 und hinsichtlich der Beschlußfassung über die Änderung der Satzung Nummer 8; die nach § 61 Abs. 2 Nr. 1 bis 3, 7 und 8 gefaßten Beschlüsse bedürfen der Genehmigung der Handwerkskammer,</w:t>
      </w:r>
    </w:p>
    <w:p>
      <w:pPr>
        <w:ind w:left="420"/>
      </w:pPr>
      <w:r>
        <w:t xml:space="preserve">4. § 62 Abs. 1, Abs. 2 Sätze 1 und 2 sowie Abs. 3,</w:t>
      </w:r>
    </w:p>
    <w:p>
      <w:pPr>
        <w:ind w:left="420"/>
      </w:pPr>
      <w:r>
        <w:t xml:space="preserve">5. §§ 64, 66, 67 Abs. 1 und §§ 73 bis 77.</w:t>
      </w:r>
    </w:p>
    <w:p>
      <w:r>
        <w:t xml:space="preserve">(2) Wird die Kreishandwerkerschaft durch die Handwerkskammer aufgelöst, so wird das Vermögen der Kreishandwerkerschaft in entsprechender Anwendung der §§ 47 bis 53 des Bürgerlichen Gesetzbuchs liquidiert. § 78 Abs. 2 gilt entsprechend.</w:t>
      </w:r>
    </w:p>
    <w:p>
      <w:r>
        <w:rPr>
          <w:color w:val="555555"/>
          <w:sz w:val="17"/>
        </w:rPr>
        <w:t xml:space="preserve">Zitiervorschlag: § 89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