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HwO</w:t>
      </w:r>
    </w:p>
    <w:p>
      <w:r>
        <w:rPr>
          <w:color w:val="555555"/>
          <w:sz w:val="18"/>
        </w:rPr>
        <w:t xml:space="preserve">Handwerksordnung</w:t>
      </w:r>
    </w:p>
    <w:p>
      <w:r>
        <w:rPr>
          <w:color w:val="555555"/>
          <w:sz w:val="18"/>
        </w:rPr>
        <w:t xml:space="preserve">Stand: 10.06.2019 (konsolidierte Textfassung, kein amtliches Inkrafttretensdatum)</w:t>
      </w:r>
    </w:p>
    <w:p>
      <w:r>
        <w:t xml:space="preserve">Die Mitgliederversammlung der Kreishandwerkerschaft besteht aus Vertretern der Handwerksinnungen. Die Vertreter oder ihre Stellvertreter üben das Stimmrecht für die von ihnen vertretenen Handwerksinnungen aus. Jede Handwerksinnung hat eine Stimme. Die Satzung kann bestimmen, daß den Handwerksinnungen entsprechend der Zahl ihrer Mitglieder bis höchstens zwei Zusatzstimmen zuerkannt und die Stimmen einer Handwerksinnung uneinheitlich abgegeben werden können.</w:t>
      </w:r>
    </w:p>
    <w:p>
      <w:r>
        <w:rPr>
          <w:color w:val="555555"/>
          <w:sz w:val="17"/>
        </w:rPr>
        <w:t xml:space="preserve">Zitiervorschlag: § 88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