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Kreishandwerkerschaft hat die Aufgabe,</w:t>
      </w:r>
    </w:p>
    <w:p>
      <w:pPr>
        <w:ind w:left="420"/>
      </w:pPr>
      <w:r>
        <w:t xml:space="preserve">1. die Gesamtinteressen des selbständigen Handwerks und des handwerksähnlichen Gewerbes sowie die gemeinsamen Interessen der Handwerksinnungen ihres Bezirks wahrzunehmen,</w:t>
      </w:r>
    </w:p>
    <w:p>
      <w:pPr>
        <w:ind w:left="420"/>
      </w:pPr>
      <w:r>
        <w:t xml:space="preserve">2. die Handwerksinnungen bei der Erfüllung ihrer Aufgaben zu unterstützen,</w:t>
      </w:r>
    </w:p>
    <w:p>
      <w:pPr>
        <w:ind w:left="420"/>
      </w:pPr>
      <w:r>
        <w:t xml:space="preserve">3. Einrichtungen zur Förderung und Vertretung der gewerblichen, wirtschaftlichen und sozialen Interessen der Mitglieder der Handwerksinnungen zu schaffen oder zu unterstützen,</w:t>
      </w:r>
    </w:p>
    <w:p>
      <w:pPr>
        <w:ind w:left="420"/>
      </w:pPr>
      <w:r>
        <w:t xml:space="preserve">4. die Behörden bei den das selbständige Handwerk und das handwerksähnliche Gewerbe ihres Bezirks berührenden Maßnahmen zu unterstützen und ihnen Anregungen, Auskünfte und Gutachten zu erteilen,</w:t>
      </w:r>
    </w:p>
    <w:p>
      <w:pPr>
        <w:ind w:left="420"/>
      </w:pPr>
      <w:r>
        <w:t xml:space="preserve">5. die Geschäfte der Handwerksinnungen auf deren Ansuchen zu führen,</w:t>
      </w:r>
    </w:p>
    <w:p>
      <w:pPr>
        <w:ind w:left="420"/>
      </w:pPr>
      <w:r>
        <w:t xml:space="preserve">6. die von der Handwerkskammer innerhalb ihrer Zuständigkeit erlassenen Vorschriften und Anordnungen durchzuführen; die Handwerkskammer hat sich an den hierdurch entstehenden Kosten angemessen zu beteiligen.</w:t>
      </w:r>
    </w:p>
    <w:p>
      <w:r>
        <w:rPr>
          <w:color w:val="555555"/>
          <w:sz w:val="17"/>
        </w:rPr>
        <w:t xml:space="preserve">Zitiervorschlag: § 87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