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HwO</w:t>
      </w:r>
    </w:p>
    <w:p>
      <w:r>
        <w:rPr>
          <w:color w:val="555555"/>
          <w:sz w:val="18"/>
        </w:rPr>
        <w:t xml:space="preserve">Handwerksordnung</w:t>
      </w:r>
    </w:p>
    <w:p>
      <w:r>
        <w:rPr>
          <w:color w:val="555555"/>
          <w:sz w:val="18"/>
        </w:rPr>
        <w:t xml:space="preserve">Stand: 10.06.2019 (konsolidierte Textfassung, kein amtliches Inkrafttretensdatum)</w:t>
      </w:r>
    </w:p>
    <w:p>
      <w:r>
        <w:t xml:space="preserve">Durch die Satzung kann bestimmt werden, daß sich Vereinigungen von Inhabern handwerksähnlicher Betriebe oder Inhaber handwerksähnlicher Betriebe einem Landesinnungsverband anschließen können. In diesem Fall obliegt dem Landesinnungsverband nach Maßgabe der §§ 81 und 82 auch die Wahrnehmung der Interessen des handwerksähnlichen Gewerbes. § 83 Abs. 2 gilt entsprechend für die Vertretung des handwerksähnlichen Gewerbes in der Mitgliederversammlung.</w:t>
      </w:r>
    </w:p>
    <w:p>
      <w:r>
        <w:rPr>
          <w:color w:val="555555"/>
          <w:sz w:val="17"/>
        </w:rPr>
        <w:t xml:space="preserve">Zitiervorschlag: § 84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